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4B47A">
      <w:pPr>
        <w:widowControl/>
        <w:spacing w:line="420" w:lineRule="exact"/>
        <w:ind w:left="960" w:hanging="960" w:hangingChars="300"/>
        <w:jc w:val="left"/>
        <w:rPr>
          <w:rFonts w:ascii="Times New Roman" w:hAnsi="Times New Roman" w:eastAsia="仿宋_GB2312" w:cs="Times New Roman"/>
          <w:kern w:val="0"/>
          <w:sz w:val="32"/>
          <w:szCs w:val="32"/>
        </w:rPr>
      </w:pPr>
      <w:r>
        <w:rPr>
          <w:rFonts w:ascii="黑体" w:hAnsi="黑体" w:eastAsia="黑体"/>
          <w:sz w:val="32"/>
          <w:szCs w:val="32"/>
        </w:rPr>
        <w:t>附件</w:t>
      </w:r>
      <w:r>
        <w:rPr>
          <w:rFonts w:hint="eastAsia" w:ascii="黑体" w:hAnsi="黑体" w:eastAsia="黑体"/>
          <w:sz w:val="32"/>
          <w:szCs w:val="32"/>
        </w:rPr>
        <w:t>1</w:t>
      </w:r>
    </w:p>
    <w:p w14:paraId="50AEB456">
      <w:pPr>
        <w:spacing w:line="540" w:lineRule="exact"/>
        <w:jc w:val="center"/>
        <w:rPr>
          <w:rFonts w:ascii="黑体" w:hAnsi="黑体" w:eastAsia="黑体" w:cs="Times New Roman"/>
          <w:sz w:val="32"/>
          <w:szCs w:val="32"/>
        </w:rPr>
      </w:pPr>
      <w:bookmarkStart w:id="0" w:name="_GoBack"/>
      <w:r>
        <w:rPr>
          <w:rFonts w:ascii="黑体" w:hAnsi="黑体" w:eastAsia="黑体" w:cs="Times New Roman"/>
          <w:sz w:val="32"/>
          <w:szCs w:val="32"/>
        </w:rPr>
        <w:t>202</w:t>
      </w:r>
      <w:r>
        <w:rPr>
          <w:rFonts w:hint="eastAsia" w:ascii="黑体" w:hAnsi="黑体" w:eastAsia="黑体" w:cs="Times New Roman"/>
          <w:sz w:val="32"/>
          <w:szCs w:val="32"/>
        </w:rPr>
        <w:t>6</w:t>
      </w:r>
      <w:r>
        <w:rPr>
          <w:rFonts w:ascii="黑体" w:hAnsi="黑体" w:eastAsia="黑体" w:cs="Times New Roman"/>
          <w:sz w:val="32"/>
          <w:szCs w:val="32"/>
        </w:rPr>
        <w:t>年度教师教育</w:t>
      </w:r>
      <w:r>
        <w:rPr>
          <w:rFonts w:hint="eastAsia" w:ascii="黑体" w:hAnsi="黑体" w:eastAsia="黑体" w:cs="Times New Roman"/>
          <w:sz w:val="32"/>
          <w:szCs w:val="32"/>
        </w:rPr>
        <w:t>类</w:t>
      </w:r>
      <w:r>
        <w:rPr>
          <w:rFonts w:ascii="黑体" w:hAnsi="黑体" w:eastAsia="黑体" w:cs="Times New Roman"/>
          <w:sz w:val="32"/>
          <w:szCs w:val="32"/>
        </w:rPr>
        <w:t>课程</w:t>
      </w:r>
      <w:r>
        <w:rPr>
          <w:rFonts w:hint="eastAsia" w:ascii="黑体" w:hAnsi="黑体" w:eastAsia="黑体" w:cs="Times New Roman"/>
          <w:sz w:val="32"/>
          <w:szCs w:val="32"/>
        </w:rPr>
        <w:t>教学</w:t>
      </w:r>
      <w:r>
        <w:rPr>
          <w:rFonts w:ascii="黑体" w:hAnsi="黑体" w:eastAsia="黑体" w:cs="Times New Roman"/>
          <w:sz w:val="32"/>
          <w:szCs w:val="32"/>
        </w:rPr>
        <w:t>改革研究课题立项指南</w:t>
      </w:r>
    </w:p>
    <w:p w14:paraId="29962023">
      <w:pPr>
        <w:spacing w:line="540" w:lineRule="exact"/>
        <w:jc w:val="center"/>
        <w:rPr>
          <w:rFonts w:ascii="黑体" w:hAnsi="黑体" w:eastAsia="黑体" w:cs="Times New Roman"/>
          <w:sz w:val="32"/>
          <w:szCs w:val="32"/>
        </w:rPr>
      </w:pPr>
    </w:p>
    <w:bookmarkEnd w:id="0"/>
    <w:p w14:paraId="555AF441">
      <w:pPr>
        <w:jc w:val="center"/>
        <w:rPr>
          <w:rFonts w:ascii="黑体" w:hAnsi="黑体" w:eastAsia="黑体" w:cs="黑体"/>
          <w:sz w:val="28"/>
          <w:szCs w:val="36"/>
        </w:rPr>
      </w:pPr>
      <w:r>
        <w:rPr>
          <w:rFonts w:hint="eastAsia" w:ascii="黑体" w:hAnsi="黑体" w:eastAsia="黑体" w:cs="黑体"/>
          <w:sz w:val="28"/>
          <w:szCs w:val="36"/>
        </w:rPr>
        <w:t>方向一：人工智能深度融合的教师教育课程体系重构研究</w:t>
      </w:r>
    </w:p>
    <w:p w14:paraId="69C67F98">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聚焦教师教育课程的顶层设计和系统性变革，将人工智能赋能课程结构、课程内容、教学方法、实施逻辑等作为核心要素，对现有教师教育课程进行系统性重构。选题参考：</w:t>
      </w:r>
    </w:p>
    <w:p w14:paraId="15609713">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1-1智能素养导向的教师教育类课程转型研究与实践</w:t>
      </w:r>
    </w:p>
    <w:p w14:paraId="7763564A">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1-2人工智能赋能教师教育课程创新范式研究</w:t>
      </w:r>
    </w:p>
    <w:p w14:paraId="4DF6D1D1">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1-3人工智能时代教师教育课程教与学方式变革研究</w:t>
      </w:r>
    </w:p>
    <w:p w14:paraId="5CD2B08F">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1-4师范生智能教育实践课程体系构建与实施模式研究</w:t>
      </w:r>
    </w:p>
    <w:p w14:paraId="7194E1B6">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1-5基于人工智能的跨学科/项目式学习课程设计与实践研究</w:t>
      </w:r>
    </w:p>
    <w:p w14:paraId="7A13733B">
      <w:pPr>
        <w:jc w:val="center"/>
        <w:rPr>
          <w:rFonts w:ascii="宋体" w:hAnsi="宋体" w:eastAsia="宋体" w:cs="宋体"/>
        </w:rPr>
      </w:pPr>
      <w:r>
        <w:rPr>
          <w:rFonts w:hint="eastAsia" w:ascii="黑体" w:hAnsi="黑体" w:eastAsia="黑体" w:cs="黑体"/>
          <w:sz w:val="28"/>
          <w:szCs w:val="28"/>
        </w:rPr>
        <w:t>方向二：人工智能赋能师范生“智能地学”模式创新研究</w:t>
      </w:r>
    </w:p>
    <w:p w14:paraId="0472BE33">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聚焦师范生如何利用人工智能技术提升自身学习效能、认知水平与专业发展能力，构建新型学习者画像。选题参考：</w:t>
      </w:r>
    </w:p>
    <w:p w14:paraId="0DC9B4DB">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2-1人工智能驱动的师范生个性化学习路径构建与验证研究</w:t>
      </w:r>
    </w:p>
    <w:p w14:paraId="4BFCC81B">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2-2生成式人工智能在师范生学术写作与高阶思维培养中的应用研究</w:t>
      </w:r>
    </w:p>
    <w:p w14:paraId="3E3947BA">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2-3基于多模态数据的师范生课堂专注度与学习投入研究</w:t>
      </w:r>
    </w:p>
    <w:p w14:paraId="4979F7E9">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2-4智能学伴在师范生微格教学技能自主训练中的应用研究</w:t>
      </w:r>
    </w:p>
    <w:p w14:paraId="7906EA2D">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2-5 师范生智能学习工具采纳与整合能力的影响因素及提升策略研究</w:t>
      </w:r>
    </w:p>
    <w:p w14:paraId="5F8273CE">
      <w:pPr>
        <w:jc w:val="center"/>
        <w:rPr>
          <w:rFonts w:ascii="宋体" w:hAnsi="宋体" w:eastAsia="宋体" w:cs="宋体"/>
          <w:b/>
          <w:bCs/>
          <w:sz w:val="28"/>
          <w:szCs w:val="28"/>
        </w:rPr>
      </w:pPr>
      <w:r>
        <w:rPr>
          <w:rFonts w:hint="eastAsia" w:ascii="黑体" w:hAnsi="黑体" w:eastAsia="黑体" w:cs="黑体"/>
          <w:sz w:val="28"/>
          <w:szCs w:val="28"/>
        </w:rPr>
        <w:t>方向三：人工智能赋能未来教师“智能地教”能力建构研究</w:t>
      </w:r>
    </w:p>
    <w:p w14:paraId="22B24130">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面向基础教育一线，探索师范生作为未来教学者运用人工智能进行教学设计、实施、评价与管理的核心教学能力体系。选题参考：</w:t>
      </w:r>
    </w:p>
    <w:p w14:paraId="642137E1">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3-1人机协同的师范生教学技能训练模式研究</w:t>
      </w:r>
    </w:p>
    <w:p w14:paraId="16768D92">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3-2师范生智能教学设计能力培养路径研究</w:t>
      </w:r>
    </w:p>
    <w:p w14:paraId="4F87188B">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3-3师范生智能教学评价能力培养路径研究</w:t>
      </w:r>
    </w:p>
    <w:p w14:paraId="384427D1">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3-4师范生智能教育素养的测评体系与发展路径研究</w:t>
      </w:r>
    </w:p>
    <w:p w14:paraId="23978388">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3-5人机协同视域下师范生课堂教学组织与管理能力培养的研究</w:t>
      </w:r>
    </w:p>
    <w:p w14:paraId="293CBF6A">
      <w:pPr>
        <w:jc w:val="center"/>
        <w:rPr>
          <w:rFonts w:ascii="黑体" w:hAnsi="黑体" w:eastAsia="黑体" w:cs="黑体"/>
          <w:sz w:val="28"/>
          <w:szCs w:val="28"/>
        </w:rPr>
      </w:pPr>
      <w:r>
        <w:rPr>
          <w:rFonts w:hint="eastAsia" w:ascii="黑体" w:hAnsi="黑体" w:eastAsia="黑体" w:cs="黑体"/>
          <w:sz w:val="28"/>
          <w:szCs w:val="28"/>
        </w:rPr>
        <w:t>方向四：智能化教学环境与工具校本化应用研究</w:t>
      </w:r>
    </w:p>
    <w:p w14:paraId="256C0CD2">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结合教育领域的特定需求，进行智能教学环境、辅助技术与工具的创新性应用研究。选题参考：</w:t>
      </w:r>
    </w:p>
    <w:p w14:paraId="054B5A6B">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4-1轻量化人工智能工具在教师教育课程教学中的应用研究</w:t>
      </w:r>
    </w:p>
    <w:p w14:paraId="6A4AEA0F">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4-2教师教育课程智能辅助技术应用的现状、障碍与推进策略研究</w:t>
      </w:r>
    </w:p>
    <w:p w14:paraId="049A4F2C">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4-3基于“数字画像”的师范生融合教育实践能力跟踪评价研究</w:t>
      </w:r>
    </w:p>
    <w:p w14:paraId="332DD00E">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4-4 人工智能驱动的多模态教学行为分析系统在微格教学中的应用与实践</w:t>
      </w:r>
    </w:p>
    <w:p w14:paraId="38952626">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4-5 教师教育课程智能体的设计开发与应用研究</w:t>
      </w:r>
    </w:p>
    <w:p w14:paraId="611221DA">
      <w:pPr>
        <w:jc w:val="center"/>
        <w:rPr>
          <w:rFonts w:ascii="黑体" w:hAnsi="黑体" w:eastAsia="黑体" w:cs="黑体"/>
          <w:sz w:val="28"/>
          <w:szCs w:val="28"/>
        </w:rPr>
      </w:pPr>
      <w:r>
        <w:rPr>
          <w:rFonts w:hint="eastAsia" w:ascii="黑体" w:hAnsi="黑体" w:eastAsia="黑体" w:cs="黑体"/>
          <w:sz w:val="28"/>
          <w:szCs w:val="28"/>
        </w:rPr>
        <w:t>方向五：师范生数字素养能力培养研究</w:t>
      </w:r>
    </w:p>
    <w:p w14:paraId="53E43CAC">
      <w:pPr>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聚焦师范生专业能力的素养奠基，以《教师数字素养》为纲，构建贯穿师范生培养全程、可测量的数字素养发展体系。选题参考：</w:t>
      </w:r>
    </w:p>
    <w:p w14:paraId="61111893">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5-1 师范生数字素养发展现状的调查研究</w:t>
      </w:r>
    </w:p>
    <w:p w14:paraId="07E7ED15">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5-2 师范生数字素养能力框架的理论建构</w:t>
      </w:r>
    </w:p>
    <w:p w14:paraId="50E78B89">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5-3 师范生数字素养培养路径的实践研究</w:t>
      </w:r>
    </w:p>
    <w:p w14:paraId="180358D5">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5-4 师范生教育质量监测与评价的创新与实践</w:t>
      </w:r>
    </w:p>
    <w:p w14:paraId="5CD09CF9">
      <w:pP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5-5 师范生数字素养能力评价机制研究</w:t>
      </w:r>
    </w:p>
    <w:p w14:paraId="0B90F6C6">
      <w:pPr>
        <w:rPr>
          <w:rFonts w:ascii="宋体" w:hAnsi="宋体" w:eastAsia="宋体" w:cs="宋体"/>
          <w:b/>
          <w:bCs/>
        </w:rPr>
      </w:pPr>
      <w:r>
        <w:rPr>
          <w:rFonts w:hint="eastAsia" w:ascii="Times New Roman" w:hAnsi="Times New Roman" w:eastAsia="仿宋_GB2312" w:cs="Times New Roman"/>
          <w:sz w:val="28"/>
          <w:szCs w:val="28"/>
        </w:rPr>
        <w:t>5-6 师范生数字素养内涵建构的研究</w:t>
      </w:r>
    </w:p>
    <w:p w14:paraId="7ACDF78A">
      <w:pPr>
        <w:rPr>
          <w:rFonts w:ascii="Times New Roman" w:hAnsi="Times New Roman" w:eastAsia="仿宋_GB2312" w:cs="Times New Roman"/>
          <w:sz w:val="28"/>
          <w:szCs w:val="28"/>
        </w:rPr>
      </w:pPr>
    </w:p>
    <w:p w14:paraId="3D9B26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22260"/>
    <w:rsid w:val="1922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2026-01-04T08:42:00Z</dcterms:created>
  <dc:creator>DELL</dc:creator>
  <cp:lastModifiedBy>DELL</cp:lastModifiedBy>
  <dcterms:modified xsi:type="dcterms:W3CDTF">2026-01-04T08:42:42Z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0C60016B922741AA9A180794C47286E8_11</vt:lpwstr>
  </property>
  <property fmtid="{D5CDD505-2E9C-101B-9397-08002B2CF9AE}" pid="4" name="KSOTemplateDocerSaveRecord">
    <vt:lpwstr>eyJoZGlkIjoiYWExMjVjZTQ2MDE1MmQ4OTA4OGMxYTE0YThmYzA3ZmIiLCJ1c2VySWQiOiIxNTgxNjcxNjIwIn0=</vt:lpwstr>
  </property>
</Properties>
</file>